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4" w:rsidRPr="004C7F0A" w:rsidRDefault="00497264" w:rsidP="004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 w:rsidRPr="004C7F0A">
        <w:rPr>
          <w:rFonts w:ascii="Times New Roman" w:hAnsi="Times New Roman" w:cs="Times New Roman"/>
          <w:sz w:val="24"/>
          <w:szCs w:val="24"/>
          <w:lang w:val="pl"/>
        </w:rPr>
        <w:t xml:space="preserve">Szkoła Branżowa I Stopnia </w:t>
      </w:r>
      <w:r w:rsidR="00FA6353">
        <w:rPr>
          <w:rFonts w:ascii="Times New Roman" w:hAnsi="Times New Roman" w:cs="Times New Roman"/>
          <w:sz w:val="24"/>
          <w:szCs w:val="24"/>
          <w:lang w:val="pl"/>
        </w:rPr>
        <w:t xml:space="preserve">-klasa I </w:t>
      </w:r>
      <w:bookmarkStart w:id="0" w:name="_GoBack"/>
      <w:bookmarkEnd w:id="0"/>
      <w:r w:rsidRPr="004C7F0A">
        <w:rPr>
          <w:rFonts w:ascii="Times New Roman" w:hAnsi="Times New Roman" w:cs="Times New Roman"/>
          <w:sz w:val="24"/>
          <w:szCs w:val="24"/>
          <w:lang w:val="pl"/>
        </w:rPr>
        <w:t>(podstawowa i gimnazjum)</w:t>
      </w:r>
    </w:p>
    <w:p w:rsidR="00497264" w:rsidRPr="004C7F0A" w:rsidRDefault="00497264" w:rsidP="0049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497264" w:rsidRPr="004C7F0A" w:rsidRDefault="00497264" w:rsidP="0049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proofErr w:type="gramStart"/>
      <w:r w:rsidRPr="004C7F0A">
        <w:rPr>
          <w:rFonts w:ascii="Times New Roman" w:hAnsi="Times New Roman" w:cs="Times New Roman"/>
          <w:sz w:val="24"/>
          <w:szCs w:val="24"/>
          <w:lang w:val="pl"/>
        </w:rPr>
        <w:t xml:space="preserve">Zawód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  <w:lang w:val="pl"/>
        </w:rPr>
        <w:t>fryzjer</w:t>
      </w:r>
      <w:r w:rsidRPr="004C7F0A">
        <w:rPr>
          <w:rFonts w:ascii="Times New Roman" w:hAnsi="Times New Roman" w:cs="Times New Roman"/>
          <w:sz w:val="24"/>
          <w:szCs w:val="24"/>
          <w:lang w:val="pl"/>
        </w:rPr>
        <w:t xml:space="preserve">                    </w:t>
      </w:r>
    </w:p>
    <w:p w:rsidR="00497264" w:rsidRPr="004C7F0A" w:rsidRDefault="00497264" w:rsidP="0049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497264" w:rsidRPr="004C7F0A" w:rsidRDefault="00497264" w:rsidP="0049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proofErr w:type="gramStart"/>
      <w:r w:rsidRPr="004C7F0A">
        <w:rPr>
          <w:rFonts w:ascii="Times New Roman" w:hAnsi="Times New Roman" w:cs="Times New Roman"/>
          <w:sz w:val="24"/>
          <w:szCs w:val="24"/>
          <w:lang w:val="pl"/>
        </w:rPr>
        <w:t>przedmiot</w:t>
      </w:r>
      <w:proofErr w:type="gramEnd"/>
      <w:r w:rsidRPr="004C7F0A">
        <w:rPr>
          <w:rFonts w:ascii="Times New Roman" w:hAnsi="Times New Roman" w:cs="Times New Roman"/>
          <w:sz w:val="24"/>
          <w:szCs w:val="24"/>
          <w:lang w:val="pl"/>
        </w:rPr>
        <w:t>: Podstawy działalności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usługowej</w:t>
      </w:r>
    </w:p>
    <w:p w:rsidR="00497264" w:rsidRPr="004C7F0A" w:rsidRDefault="00497264" w:rsidP="0049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84"/>
        <w:gridCol w:w="5384"/>
      </w:tblGrid>
      <w:tr w:rsidR="00497264" w:rsidRPr="004C7F0A" w:rsidTr="007E29D9">
        <w:trPr>
          <w:trHeight w:val="1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7264" w:rsidRPr="004C7F0A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4C7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"/>
              </w:rPr>
              <w:t>Wymagania podstawowe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264" w:rsidRPr="004C7F0A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4C7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"/>
              </w:rPr>
              <w:t>Wymagania ponadpodstawowe</w:t>
            </w:r>
          </w:p>
        </w:tc>
      </w:tr>
      <w:tr w:rsidR="00497264" w:rsidRPr="004C7F0A" w:rsidTr="007E29D9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264" w:rsidRPr="000C4FA1" w:rsidRDefault="0004202F" w:rsidP="00DD2CA5">
            <w:pPr>
              <w:autoSpaceDE w:val="0"/>
              <w:autoSpaceDN w:val="0"/>
              <w:adjustRightInd w:val="0"/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pl"/>
              </w:rPr>
            </w:pPr>
            <w:r w:rsidRPr="000C4FA1">
              <w:rPr>
                <w:rFonts w:ascii="Times New Roman" w:hAnsi="Times New Roman" w:cs="Times New Roman"/>
                <w:color w:val="000000"/>
                <w:sz w:val="28"/>
                <w:szCs w:val="28"/>
                <w:lang w:val="pl"/>
              </w:rPr>
              <w:t>Kompetencje personalne i społeczne- obsługa klienta</w:t>
            </w:r>
          </w:p>
        </w:tc>
      </w:tr>
      <w:tr w:rsidR="0004202F" w:rsidRPr="004C7F0A" w:rsidTr="007E29D9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202F" w:rsidRDefault="0004202F" w:rsidP="00B2294D">
            <w:pPr>
              <w:autoSpaceDE w:val="0"/>
              <w:autoSpaceDN w:val="0"/>
              <w:adjustRightInd w:val="0"/>
              <w:spacing w:after="0"/>
              <w:ind w:left="142" w:right="22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ogólne zasady komunikacji interpersonalnej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interpretuje mowę ciała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komunikacji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stosuje formy grzecznościowe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mowie i w piśmie</w:t>
            </w:r>
          </w:p>
          <w:p w:rsidR="0004202F" w:rsidRDefault="0004202F" w:rsidP="00B2294D">
            <w:pPr>
              <w:autoSpaceDE w:val="0"/>
              <w:autoSpaceDN w:val="0"/>
              <w:adjustRightInd w:val="0"/>
              <w:spacing w:after="0"/>
              <w:ind w:left="142" w:right="22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stosuje techniki aktywnego słuchania w rozmowie z klientem w salonie fryzjerskim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stosuje aktywne metody słuchania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identyfikuje bariery komunikacyjne w dialogu z klientem</w:t>
            </w:r>
            <w:r w:rsidR="007E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charakteryzuje typy </w:t>
            </w:r>
            <w:proofErr w:type="spellStart"/>
            <w:r w:rsidR="007E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klientów</w:t>
            </w:r>
            <w:proofErr w:type="gramStart"/>
            <w:r w:rsidR="007E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,stosuje</w:t>
            </w:r>
            <w:proofErr w:type="spellEnd"/>
            <w:proofErr w:type="gramEnd"/>
            <w:r w:rsidR="007E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zasady dobrej komunikacji, zna bariery występujące w komunikacji z klientem</w:t>
            </w:r>
          </w:p>
          <w:p w:rsidR="00EB5056" w:rsidRDefault="00EB5056" w:rsidP="00B2294D">
            <w:p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 typy </w:t>
            </w:r>
            <w:proofErr w:type="spellStart"/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klientów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rozróżnia</w:t>
            </w:r>
            <w:proofErr w:type="spellEnd"/>
            <w:proofErr w:type="gramEnd"/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fazy obsługi klienta</w:t>
            </w:r>
          </w:p>
          <w:p w:rsidR="00EB5056" w:rsidRPr="00EB5056" w:rsidRDefault="00EB5056" w:rsidP="00B2294D">
            <w:p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sprawdzanie zadowolenia klienta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reklamacja usług fryzjerskich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zna z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asady organizacji pracy w salonie fryzjerskim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50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planuje swoją pracę 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salonie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znaczenie systematyczności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obowiązkowości pod katem funkcjonowania salonu</w:t>
            </w:r>
          </w:p>
          <w:p w:rsidR="00EB5056" w:rsidRPr="00EB5056" w:rsidRDefault="00EB5056" w:rsidP="00B2294D">
            <w:p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sprawdzanie</w:t>
            </w:r>
            <w:proofErr w:type="gramEnd"/>
            <w:r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zadowolenia klienta</w:t>
            </w:r>
          </w:p>
          <w:p w:rsidR="00EB5056" w:rsidRPr="00EB5056" w:rsidRDefault="00EB5056" w:rsidP="00B2294D">
            <w:pPr>
              <w:autoSpaceDE w:val="0"/>
              <w:autoSpaceDN w:val="0"/>
              <w:adjustRightInd w:val="0"/>
              <w:spacing w:after="0"/>
              <w:ind w:left="142" w:right="22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056" w:rsidRPr="00EB5056" w:rsidRDefault="0004202F" w:rsidP="00EB5056">
            <w:p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doskonali umiejętności komunikacyjne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stosuje nowe wyzwania w komunikacji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analizuje problemy wynikające z komunikacji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4202F">
              <w:t xml:space="preserve">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komunikuje innym własne intencje i przekonania, by osiągać określone cele interpersonalne </w:t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4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stosuje dostępne źródła informacji w celu pogłębiania umiejętności zawodowych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stosuje odpowiednie techniki prowadzenia rozmowy z klientem, potrafi szczegółowo omówić usługę fryzjerska uwypuklając jej zalety i korzyści dla klienta</w:t>
            </w:r>
            <w:r w:rsid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stosuje zasady obsługi klienta, </w:t>
            </w:r>
            <w:r w:rsidR="00EB5056" w:rsidRPr="00EB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omawia zasady odpowiedzialności za podejmowane działania w salonie</w:t>
            </w:r>
          </w:p>
        </w:tc>
      </w:tr>
      <w:tr w:rsidR="007E29D9" w:rsidRPr="004C7F0A" w:rsidTr="002236DF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29D9" w:rsidRPr="000C4FA1" w:rsidRDefault="000C4FA1" w:rsidP="00B2294D">
            <w:pPr>
              <w:autoSpaceDE w:val="0"/>
              <w:autoSpaceDN w:val="0"/>
              <w:adjustRightInd w:val="0"/>
              <w:spacing w:after="0"/>
              <w:ind w:left="142" w:right="227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Zakładanie salonu fryzjerskiego</w:t>
            </w:r>
          </w:p>
        </w:tc>
      </w:tr>
      <w:tr w:rsidR="00497264" w:rsidRPr="004C7F0A" w:rsidTr="007E29D9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D50B5" w:rsidRDefault="00DD50B5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podstawowe pojęcia ekonomiczne, popyt, podaż, dobra i usługi, wymienia podmioty uczestniczące ·w procesie gospodarowania, </w:t>
            </w:r>
          </w:p>
          <w:p w:rsidR="00497264" w:rsidRDefault="00DD50B5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prawa konsumenta i zasady składania reklamacji</w:t>
            </w:r>
          </w:p>
          <w:p w:rsidR="00DD50B5" w:rsidRDefault="00DD50B5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formy prowadzenia działalności gospodarczej</w:t>
            </w:r>
          </w:p>
          <w:p w:rsidR="00DD50B5" w:rsidRDefault="00DD50B5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omawia procedurę rejestrowania działalności gospodarczej osoby fizycznej, pojęcia PKD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,NIP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,CEIDG,REGON.</w:t>
            </w:r>
          </w:p>
          <w:p w:rsidR="0092065D" w:rsidRPr="00EB5056" w:rsidRDefault="0092065D" w:rsidP="00B2294D">
            <w:p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zna</w:t>
            </w:r>
            <w:proofErr w:type="gramEnd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strukturę i zasady pisania biznesplanu,</w:t>
            </w:r>
            <w:r w:rsidR="00900A9E">
              <w:t xml:space="preserve">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ymienia adresatów biznesplanu. Wymienia elementy biznesplanu. Wymienia cele sporządzania biznesplanu. Charakteryzuje zawartość poszczególnych elementów biznesplanu. Źródła finansowania podjęcia i prowadzenia działalności gospodarczej,</w:t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omawia plan i wyposażenie zakładanego przez siebie salonu fryzjerskiego,</w:t>
            </w:r>
            <w:r w:rsidR="00EB5056">
              <w:t xml:space="preserve"> </w:t>
            </w:r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określa rodzaje salonów fryzjerskich</w:t>
            </w:r>
            <w:r w:rsid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, </w:t>
            </w:r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omawia cechy salonu </w:t>
            </w:r>
            <w:proofErr w:type="spellStart"/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fryzjerskiego</w:t>
            </w:r>
            <w:proofErr w:type="gramStart"/>
            <w:r w:rsid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przedstawia</w:t>
            </w:r>
            <w:proofErr w:type="spellEnd"/>
            <w:proofErr w:type="gramEnd"/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projekt salonu fryzjerskiego</w:t>
            </w:r>
            <w:r w:rsid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zna podstawowe formy opodatkowania podatkiem dochodowym, omawia zasady ubezpieczeń społecznych,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ymienia obowiązki wobec ZUS osób prowadzących działalność gospodarczą związane z własnym ubezpieczeniem społecznym oraz z ubezpieczeniem pracowników. </w:t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zna podstawowe przepisy wynikające z prawa pracy dotyczące zatrudnienia pracownika</w:t>
            </w:r>
          </w:p>
          <w:p w:rsidR="00024012" w:rsidRDefault="00024012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przedsiębiorstwa i instytucja działające w branży fryzjerskiej,</w:t>
            </w:r>
          </w:p>
          <w:p w:rsidR="00024012" w:rsidRDefault="000C5FD3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podstawowe koszty i przychody w firmie</w:t>
            </w:r>
          </w:p>
          <w:p w:rsidR="00900A9E" w:rsidRPr="00900A9E" w:rsidRDefault="00900A9E" w:rsidP="00B2294D">
            <w:p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-r</w:t>
            </w: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ozróżnia przedsiębiorstwa i instytucje występujące w br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anży i powiązania między nimi.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a</w:t>
            </w: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nalizuje</w:t>
            </w:r>
            <w:proofErr w:type="gramEnd"/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działania prowadzone przez przedsiębiorstwa funkcjonujące w branży. Inicjuje wspólne przedsięwzięcia z różnymi przedsiębiorstwami z branży</w:t>
            </w:r>
          </w:p>
          <w:p w:rsidR="00497264" w:rsidRPr="00497264" w:rsidRDefault="00497264" w:rsidP="00B2294D">
            <w:p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264" w:rsidRDefault="00DD50B5" w:rsidP="00DD50B5">
            <w:pPr>
              <w:pStyle w:val="Akapitzlist"/>
              <w:numPr>
                <w:ilvl w:val="0"/>
                <w:numId w:val="2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potrafi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omówić mechanizm rynkowy zna czynniki wpływające na wielkość popytu i podaży, interpretuje powiazania i zależności między podmiotami gospodarki, </w:t>
            </w:r>
          </w:p>
          <w:p w:rsidR="0092065D" w:rsidRDefault="00DD50B5" w:rsidP="00900A9E">
            <w:pPr>
              <w:pStyle w:val="Akapitzlist"/>
              <w:numPr>
                <w:ilvl w:val="0"/>
                <w:numId w:val="2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wyszukuje kody PKD w przeglądarce, zna instytucje i zakres ich kompetencji dotyczących podejmowania działalności </w:t>
            </w:r>
            <w:r w:rsidR="0092065D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gospodarczej, aranżuje projekt własnego salonu wraz z wyposażeniem analizuje koszty założenia </w:t>
            </w:r>
            <w:proofErr w:type="gramStart"/>
            <w:r w:rsidR="0092065D">
              <w:rPr>
                <w:rFonts w:ascii="Times New Roman" w:hAnsi="Times New Roman" w:cs="Times New Roman"/>
                <w:sz w:val="24"/>
                <w:szCs w:val="24"/>
                <w:lang w:val="pl"/>
              </w:rPr>
              <w:t>firmy,  analizuje</w:t>
            </w:r>
            <w:proofErr w:type="gramEnd"/>
            <w:r w:rsidR="0092065D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dane zawarte w biznesplanie,</w:t>
            </w:r>
            <w:r w:rsidR="00900A9E">
              <w:t xml:space="preserve"> 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 cele sporządzania biznesplanu. Charakteryzuje zawartość poszczególnych elementów biznesplanu. Sporządza analizę SWOT na podstawie przedstawionego opisu. Wymienia i charakteryzuje elementy analizy SWOT</w:t>
            </w:r>
            <w:r w:rsidR="0092065D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oblicza podatek dla różnych form opodatkowania, interpretuje przepisy prawa pracy,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="00024012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wybiera najkorzystniejsza formę organizacyjno-prawna dla </w:t>
            </w:r>
            <w:r w:rsidR="00024012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zakładu fryzjerskiego</w:t>
            </w:r>
            <w:r w:rsidR="000C5FD3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, analizuje przychody i koszty określa wynik finansowy, optymalizuje </w:t>
            </w:r>
            <w:proofErr w:type="gramStart"/>
            <w:r w:rsidR="000C5FD3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koszty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="00900A9E">
              <w:t xml:space="preserve"> 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. </w:t>
            </w:r>
            <w:proofErr w:type="gramEnd"/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Oblicza kwoty podatku do zapłacenia na podstawie informacji o podatku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należnym i podatku naliczonym. </w:t>
            </w:r>
            <w:proofErr w:type="gramStart"/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d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okonuje</w:t>
            </w:r>
            <w:proofErr w:type="gramEnd"/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zapisów w podatkowej księdze przychodów i rozchodów. Ustala terminy płatności składek w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różnych, opisanych sytuacjach. </w:t>
            </w:r>
            <w:proofErr w:type="gramStart"/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ozróżnia</w:t>
            </w:r>
            <w:proofErr w:type="gramEnd"/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formularze ZUS</w:t>
            </w:r>
          </w:p>
          <w:p w:rsidR="00F955CB" w:rsidRPr="00F955CB" w:rsidRDefault="00F955CB" w:rsidP="00F955CB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-zna pojęcie branży, wymienia p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odmioty tworzące branże i inne podmio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ty działające na rzecz branży.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konkurencja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kooperacja, o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utsourcing</w:t>
            </w:r>
          </w:p>
          <w:p w:rsidR="00EB5056" w:rsidRDefault="00EB5056" w:rsidP="00900A9E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B5056" w:rsidRDefault="00EB5056" w:rsidP="00EB5056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B5056" w:rsidRPr="00EB5056" w:rsidRDefault="00EB5056" w:rsidP="00EB5056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EB5056" w:rsidRPr="004C7F0A" w:rsidTr="006E6754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056" w:rsidRDefault="00EB5056" w:rsidP="00B2294D">
            <w:pPr>
              <w:pStyle w:val="Akapitzlist"/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Marketing w zakładzie fryzjerskim</w:t>
            </w:r>
          </w:p>
        </w:tc>
      </w:tr>
      <w:tr w:rsidR="00EB5056" w:rsidRPr="004C7F0A" w:rsidTr="007E29D9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B5056" w:rsidRPr="00900A9E" w:rsidRDefault="00900A9E" w:rsidP="00B2294D">
            <w:pPr>
              <w:pStyle w:val="Akapitzlist"/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230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-rozróżnia</w:t>
            </w:r>
            <w:r w:rsidR="00B2294D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elementy marketingu-mix; </w:t>
            </w:r>
            <w:proofErr w:type="spellStart"/>
            <w:r w:rsidR="00B2294D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okresla</w:t>
            </w:r>
            <w:proofErr w:type="spellEnd"/>
            <w:r w:rsidR="00B2294D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działania w salonie fryzjerskim, z</w:t>
            </w:r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asady wspó</w:t>
            </w:r>
            <w:r w:rsid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ł</w:t>
            </w:r>
            <w:r w:rsidR="00EB5056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pracy salonu fryzjerskiego ze środ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owiskiem branżowym i otoczeniem, dobiera</w:t>
            </w:r>
            <w:r w:rsidR="00EB5056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działania marketingowe do prowadzenia salonu fryzjerskiego; opracować kwestionariusz badania ankietowego dotyczącego potrzeb </w:t>
            </w:r>
            <w:proofErr w:type="gramStart"/>
            <w:r w:rsidR="00EB5056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klientów; . dokonać</w:t>
            </w:r>
            <w:proofErr w:type="gramEnd"/>
            <w:r w:rsidR="00EB5056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analizy potrzeby klientów na pods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tawie przeprowadzonych rozmów z klientem</w:t>
            </w:r>
          </w:p>
          <w:p w:rsidR="00EB5056" w:rsidRDefault="00EB5056" w:rsidP="00B2294D">
            <w:pPr>
              <w:pStyle w:val="Akapitzlist"/>
              <w:numPr>
                <w:ilvl w:val="0"/>
                <w:numId w:val="2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230" w:righ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określić podstawowe role działań marketingowych w salonie fryzjerskim; dobrać metody reklamowania usług i produktów do ich </w:t>
            </w:r>
            <w:proofErr w:type="gramStart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rodzaju;  określić</w:t>
            </w:r>
            <w:proofErr w:type="gramEnd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czynniki mające wpływ na dobór środków promocji;</w:t>
            </w:r>
            <w:r w:rsidR="00900A9E"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porównać działania prowadzone przez konkurencyjne salony fryzjerskie; zidentyfikować procedury sprzedaży usług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 funkcjonujących na rynku salonie fryzjerskim zorganizować współpracę z kontrahentami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 zakresie zaopatrzenia w środki , preparat i sprzęt. </w:t>
            </w:r>
            <w:proofErr w:type="gramStart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ustalić</w:t>
            </w:r>
            <w:proofErr w:type="gramEnd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zakres i zasady współpracy </w:t>
            </w:r>
            <w:r w:rsid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 przedstawicielami z branży </w:t>
            </w:r>
            <w:proofErr w:type="spellStart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kosmetyczno</w:t>
            </w:r>
            <w:proofErr w:type="spellEnd"/>
            <w:r w:rsidRPr="00EB505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- fryzjerskiej;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A9E" w:rsidRPr="00900A9E" w:rsidRDefault="00900A9E" w:rsidP="00900A9E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Zna metody badań potrzeb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klientów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,działania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w salonie fryzjerskim, u</w:t>
            </w: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sługi bezpośrednie.</w:t>
            </w:r>
          </w:p>
          <w:p w:rsidR="00EB5056" w:rsidRPr="00900A9E" w:rsidRDefault="00900A9E" w:rsidP="00B2294D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– Zasady współpracy salonu fryzjerskiego ze środowiskiem branżowym i otoczeniem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, </w:t>
            </w: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określić znaczenie stosowania próbek, kuponów, rabatów, prezentów dla zwiększenia </w:t>
            </w:r>
            <w:proofErr w:type="spellStart"/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usług</w:t>
            </w:r>
            <w:proofErr w:type="gramStart"/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;dokonać</w:t>
            </w:r>
            <w:proofErr w:type="spellEnd"/>
            <w:proofErr w:type="gramEnd"/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analizy działalności salonów fryzjerskich działających na konkurencyjnym rynku; dokonać analizy czynników kształtujących popyt na usługi fryzjerskie;</w:t>
            </w:r>
          </w:p>
        </w:tc>
      </w:tr>
      <w:tr w:rsidR="00497264" w:rsidRPr="004C7F0A" w:rsidTr="007E29D9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264" w:rsidRPr="004C7F0A" w:rsidRDefault="00A62B23" w:rsidP="00B2294D">
            <w:pPr>
              <w:autoSpaceDE w:val="0"/>
              <w:autoSpaceDN w:val="0"/>
              <w:adjustRightInd w:val="0"/>
              <w:spacing w:after="0"/>
              <w:ind w:left="230"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Bezpieczeństwo i higiena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pracy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ergonomia</w:t>
            </w:r>
          </w:p>
        </w:tc>
      </w:tr>
      <w:tr w:rsidR="00497264" w:rsidRPr="004C7F0A" w:rsidTr="007E29D9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5CB" w:rsidRDefault="00516CB9" w:rsidP="00B2294D">
            <w:pPr>
              <w:autoSpaceDE w:val="0"/>
              <w:autoSpaceDN w:val="0"/>
              <w:adjustRightInd w:val="0"/>
              <w:spacing w:after="0" w:line="240" w:lineRule="auto"/>
              <w:ind w:left="230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zna podstawowe przepisy bhp i </w:t>
            </w:r>
            <w:proofErr w:type="spellStart"/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p.poz</w:t>
            </w:r>
            <w:proofErr w:type="spellEnd"/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stosowane w zakładzie pracy</w:t>
            </w:r>
          </w:p>
          <w:p w:rsidR="00497264" w:rsidRPr="004C7F0A" w:rsidRDefault="00516CB9" w:rsidP="00B2294D">
            <w:pPr>
              <w:autoSpaceDE w:val="0"/>
              <w:autoSpaceDN w:val="0"/>
              <w:adjustRightInd w:val="0"/>
              <w:spacing w:after="0" w:line="240" w:lineRule="auto"/>
              <w:ind w:left="230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 zadania fryzjera dotyczące bezpieczeństwa pracy z urządzeniami me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chanicznymi i elektrycznymi, 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rozpoznaje 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źródła i czynniki s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zkodliwe w środowisku pracy, 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określa źródła zanieczyszczeń powstałych w wyniku: pielęgnacji włosów (szampony, odżywki, maski), nietrwałego i trwałego odkształcania włosów (pianki, lakiery, płyny, utrwalacze), zmiany kolo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ru włosów (farby, aktywatory), 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dobiera wyposażenie salonu fryzjerskiego pod względem ergonomicznym (np. wysoko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ść konsoli, fotela, umywalek</w:t>
            </w:r>
            <w:proofErr w:type="gramStart"/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)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dobiera</w:t>
            </w:r>
            <w:proofErr w:type="gramEnd"/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środki gaśnicze do określonej sytuacji zag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rożenia w środowisku pracy, 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rozróżnia znaki zakazu, nakazu, ostrzegawcze, ewakuacyjne i ochrony przeciwpoż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arowej oraz sygnały alarmowe, 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stosuje zasady bezpieczeństwa i higieny pracy w razie powstania zagrożenia, w szczególności wypadku przy pracy, awarii, pożaru, wybuchu </w:t>
            </w:r>
            <w:r w:rsid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rozróżnia zadania i uprawnienia </w:t>
            </w:r>
            <w:proofErr w:type="gramStart"/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instytucji</w:t>
            </w:r>
            <w:proofErr w:type="gramEnd"/>
            <w:r w:rsidRPr="00516CB9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oraz służb działających w zakresie bezpieczeństwa i higieny pracy, ochrony pracy i ochrony środowiska  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16CB9" w:rsidRPr="00516CB9" w:rsidRDefault="00516CB9" w:rsidP="00516CB9">
            <w:pPr>
              <w:numPr>
                <w:ilvl w:val="0"/>
                <w:numId w:val="3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</w:t>
            </w:r>
            <w:proofErr w:type="gramEnd"/>
            <w:r w:rsidRPr="00516CB9">
              <w:rPr>
                <w:rFonts w:ascii="Times New Roman" w:hAnsi="Times New Roman" w:cs="Times New Roman"/>
                <w:sz w:val="24"/>
                <w:szCs w:val="24"/>
              </w:rPr>
              <w:t xml:space="preserve"> prawa i obowiązki pracownika oraz pracodawcy w zakresie bezpieczeństwa i higieny pracy  </w:t>
            </w:r>
          </w:p>
          <w:p w:rsidR="00516CB9" w:rsidRPr="00516CB9" w:rsidRDefault="00516CB9" w:rsidP="00516CB9">
            <w:pPr>
              <w:numPr>
                <w:ilvl w:val="0"/>
                <w:numId w:val="3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CB9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proofErr w:type="gramEnd"/>
            <w:r w:rsidR="00F955CB">
              <w:rPr>
                <w:rFonts w:ascii="Times New Roman" w:hAnsi="Times New Roman" w:cs="Times New Roman"/>
                <w:sz w:val="24"/>
                <w:szCs w:val="24"/>
              </w:rPr>
              <w:t xml:space="preserve"> skutki naruszeń prawa pracy, </w:t>
            </w:r>
            <w:r w:rsidRPr="00516CB9">
              <w:rPr>
                <w:rFonts w:ascii="Times New Roman" w:hAnsi="Times New Roman" w:cs="Times New Roman"/>
                <w:sz w:val="24"/>
                <w:szCs w:val="24"/>
              </w:rPr>
              <w:t xml:space="preserve">opisuje konsekwencje nieprzestrzegania obowiązków </w:t>
            </w:r>
            <w:r w:rsidRPr="0051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pracownika i pracodawcy w zakresie bezpieczeństwa i higieny pracy w salonach fryzjerskich</w:t>
            </w:r>
          </w:p>
          <w:p w:rsidR="00516CB9" w:rsidRPr="00516CB9" w:rsidRDefault="00F955CB" w:rsidP="00516CB9">
            <w:pPr>
              <w:numPr>
                <w:ilvl w:val="0"/>
                <w:numId w:val="3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i uprawnienia </w:t>
            </w:r>
            <w:r w:rsidR="00516CB9" w:rsidRPr="00516CB9">
              <w:rPr>
                <w:rFonts w:ascii="Times New Roman" w:hAnsi="Times New Roman" w:cs="Times New Roman"/>
                <w:sz w:val="24"/>
                <w:szCs w:val="24"/>
              </w:rPr>
              <w:t xml:space="preserve">instytucji i służb działających w zakresie bezpieczeństwa i higieny pracy, ochrony pracy i ochrony środowiska  </w:t>
            </w:r>
          </w:p>
          <w:p w:rsidR="00497264" w:rsidRPr="004C7F0A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497264" w:rsidRPr="004C7F0A" w:rsidTr="007E29D9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97264" w:rsidRDefault="00497264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497264" w:rsidRPr="004C7F0A" w:rsidTr="007E29D9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264" w:rsidRDefault="00A62B23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-j</w:t>
            </w:r>
            <w:r w:rsidRPr="00A62B23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est kreatywny i konsekwentny w realizacji zadań, przewiduje skutki podejmowanych działań; jest otwarty na zmiany; potrafi radzić sobie ze stresem; aktualizuje wiedzę i doskonali umiejętności zawodowe; przestrzega tajemnicy zawodowej; potrafi ponosić odpowiedzialność za podejmowane działania; potrafi negocjować warunki </w:t>
            </w:r>
            <w:proofErr w:type="spellStart"/>
            <w:r w:rsidRPr="00A62B23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porozumień</w:t>
            </w:r>
            <w:proofErr w:type="gramStart"/>
            <w:r w:rsidRPr="00A62B23">
              <w:rPr>
                <w:rFonts w:ascii="Times New Roman" w:hAnsi="Times New Roman" w:cs="Times New Roman"/>
                <w:sz w:val="24"/>
                <w:szCs w:val="24"/>
                <w:lang w:val="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współpracuje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w zespole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97264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DD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497264" w:rsidRPr="004C7F0A" w:rsidTr="007E29D9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97264" w:rsidRDefault="00900A9E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Korespondencja prowadzona przez przedsiębiorcę</w:t>
            </w:r>
          </w:p>
        </w:tc>
      </w:tr>
      <w:tr w:rsidR="00497264" w:rsidRPr="004C7F0A" w:rsidTr="00F955CB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264" w:rsidRDefault="00900A9E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-w</w:t>
            </w:r>
            <w:r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>yjaśnia pojęcia „pismo”, „korespondencja”, „papier firmowy. Wskazuje w piśmie jego elementy składowe. Pisze e-maile w sprawach związanych z prowadzoną działalnością gospodarczą, przestrzegając zasad pisania e-maili służbowych. Pisze SMS-y w sprawach związanych z prowadzeniem działalności gospodarczej, przestrzegając zasad pisania e-maili służbowych. Sporządza pisma przy wykorzystaniu edytora tekstu (pismo przewodnie, ofertę).</w:t>
            </w:r>
          </w:p>
          <w:p w:rsidR="00497264" w:rsidRDefault="00497264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97264" w:rsidRDefault="00497264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97264" w:rsidRPr="00900A9E" w:rsidRDefault="00F955CB" w:rsidP="00F9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-zna pojęcie i formy korespondencji, definiuje rodzaje pism, zna zasady sporządzania pism, potrafi sporządzić pisma wykorzystywane w korespondencji</w:t>
            </w:r>
            <w:r w:rsidR="00900A9E" w:rsidRPr="00900A9E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w sprawach handlowych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oferta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zamówienie , zapytania ofertowe. </w:t>
            </w:r>
          </w:p>
        </w:tc>
      </w:tr>
      <w:tr w:rsidR="00F955CB" w:rsidRPr="004C7F0A" w:rsidTr="00AE6D71">
        <w:trPr>
          <w:trHeight w:val="1"/>
        </w:trPr>
        <w:tc>
          <w:tcPr>
            <w:tcW w:w="10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5CB" w:rsidRPr="00900A9E" w:rsidRDefault="00F955CB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Normy postępowania zawodowego</w:t>
            </w:r>
          </w:p>
        </w:tc>
      </w:tr>
      <w:tr w:rsidR="00F955CB" w:rsidRPr="004C7F0A" w:rsidTr="007E29D9">
        <w:trPr>
          <w:trHeight w:val="1"/>
        </w:trPr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5CB" w:rsidRDefault="00F955CB" w:rsidP="00B2294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przestrzega zasad kultury i etyki </w:t>
            </w:r>
            <w:proofErr w:type="gramStart"/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zawodowej , </w:t>
            </w:r>
            <w:proofErr w:type="gramEnd"/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 zasady etyczne w zawodzie fryzjera,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s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tosuje zasady uczciwości, sumienności, rzetelności i lojalności w wykon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ywaniu obowiązków zawodowych 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wyraża szacunek wobec klientów, w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spółpracowników i pracodawcy, 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przestrzega zasad etycznych i prawnych związanych z ochroną własności intelektualnej i ochroną danych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55CB" w:rsidRDefault="00F955CB" w:rsidP="009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-przestrzega zasad 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ogólnospołecznych w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realizacji zadań zawodowych, 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 zasady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etyczne w zawodzie fryzjera, 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stosuje zasady uczciwości, sumienności, rzetelności i lojalności w wykon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ywaniu obowiązków zawodowych, </w:t>
            </w:r>
            <w:r w:rsidRPr="00F955CB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wyraża szacunek wobec klientów, współpracowników i pracodawcy 5) przestrzega zasad etycznych i prawnych związanych z ochroną własności intelektualnej i ochroną danych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oraz tajemnicy służbowej</w:t>
            </w:r>
          </w:p>
          <w:p w:rsidR="00F955CB" w:rsidRPr="00900A9E" w:rsidRDefault="00F955CB" w:rsidP="009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</w:tbl>
    <w:p w:rsidR="00497264" w:rsidRDefault="00497264" w:rsidP="00497264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:rsidR="006B6AC7" w:rsidRDefault="006B6AC7" w:rsidP="006B6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6B6AC7" w:rsidRDefault="006B6AC7" w:rsidP="006B6A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niedostateczna: uczeń nie opanował wiedzy i umiejętności obejmujących wymagania </w:t>
      </w:r>
      <w:proofErr w:type="gramStart"/>
      <w:r>
        <w:rPr>
          <w:rFonts w:ascii="Times New Roman" w:hAnsi="Times New Roman" w:cs="Times New Roman"/>
          <w:sz w:val="24"/>
          <w:szCs w:val="24"/>
        </w:rPr>
        <w:t>podstawowe .</w:t>
      </w:r>
      <w:proofErr w:type="gramEnd"/>
      <w:r>
        <w:rPr>
          <w:rFonts w:ascii="Times New Roman" w:hAnsi="Times New Roman" w:cs="Times New Roman"/>
          <w:sz w:val="24"/>
          <w:szCs w:val="24"/>
        </w:rPr>
        <w:t>Nie potrafi definiować pojęć, omawiać i charakteryzować podstawowych pojęć dotyczących gospodarowania nawet przy pomocy nauczyciela. Wykazuje brak systematyczności i chęci do nauki. Nie podejmuje prób poprawy ocen niedostatecznych ze sprawdzianów w terminie wcześniej określonym lub odmawia odpowiedzi.</w:t>
      </w:r>
    </w:p>
    <w:p w:rsidR="006B6AC7" w:rsidRDefault="006B6AC7" w:rsidP="006B6A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dopuszczająca: uczeń wykazuje duże braki w zakresie wymagań podstawowych. Opanował wiadomości i umiejętności programowe w stopniu umożliwiającym dalsze kształcenie. Udziela odpowiedzi na pytania o niskim stopniu trudności, posługując się zrozumiałym językiem i elementarną terminologią. Potrafi skorzystać z pomocy nauczyciela. Podejmuje próby poprawy ocen niedostatecznych ze sprawdzianów. Nie przejawia aktywności na lekcjach.</w:t>
      </w:r>
    </w:p>
    <w:p w:rsidR="006B6AC7" w:rsidRDefault="006B6AC7" w:rsidP="006B6A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6AC7" w:rsidRDefault="006B6AC7" w:rsidP="006B6A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dostateczna: uczeń opanował wiedzę i umiejętności w zakresie podstawowym. Potrafi definiować pojęcia, omawiać i charakteryzować zjawiska. Opanował najważniejsze, niezbyt złożone wiadomości i umiejętności programowe. Rozwiązuje typowe problemy o małym stopniu trudności. Bez pomocy nauczyciela nie potrafi analizować, wnioskować, uogólniać i interpretować. Korzysta samodzielnie lub z pomocą nauczyciela z różnych źródeł informacji.  </w:t>
      </w:r>
    </w:p>
    <w:p w:rsidR="006B6AC7" w:rsidRDefault="006B6AC7" w:rsidP="006B6A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dobra: uczeń ma niewielkie braki w zakresie wiedzy.  Udziela poprawnych odpowiedzi na typowe pytania oraz posługuje się poprawną </w:t>
      </w:r>
      <w:proofErr w:type="gramStart"/>
      <w:r>
        <w:rPr>
          <w:rFonts w:ascii="Times New Roman" w:hAnsi="Times New Roman" w:cs="Times New Roman"/>
          <w:sz w:val="24"/>
          <w:szCs w:val="24"/>
        </w:rPr>
        <w:t>terminologią .</w:t>
      </w:r>
      <w:proofErr w:type="gramEnd"/>
      <w:r>
        <w:rPr>
          <w:rFonts w:ascii="Times New Roman" w:hAnsi="Times New Roman" w:cs="Times New Roman"/>
          <w:sz w:val="24"/>
          <w:szCs w:val="24"/>
        </w:rPr>
        <w:t>Potrafi stosować zdobytą wiedzę i umiejętności do samodzielnego rozwiązywania typowych problemów, Trudne zadania rozwiązuje z pomocą nauczyciela.  Potrafi przy niewielkiej pomocy nauczyciela problemowo przedstawiać zjawiska, analizować, oceniać je i interpretować, wnioskować.</w:t>
      </w:r>
    </w:p>
    <w:p w:rsidR="006B6AC7" w:rsidRDefault="006B6AC7" w:rsidP="006B6A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bardzo dobra: uczeń w stopniu wyczerpującym opanował materiał na poziomie wymagań podstawowych oraz ponadpodstawowych.. Samodzielnie interpretuje, ocenia, analizuje zjawiska. Potrafi uzasadnić opinie i sądy. Wykazuje umiejętność pozyskiwania informacji z różnych źródeł. </w:t>
      </w:r>
    </w:p>
    <w:p w:rsidR="006B6AC7" w:rsidRDefault="006B6AC7" w:rsidP="006B6A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celująca: uczeń opanował w pełnym zakresie wiadomości i umiejętności określone w podstawie programowej, Samodzielnie podejmuje działania w celu rozwijania swoich zainteresowań i uzdolnień. Potrafi wykorzystywać uzyskaną wiedzę na lekcjach innych przedmiotów oraz poza szkołą. Formułuje problemy i rozwiązuje je w sposób twórczy, trafnie dobierając liczne przykłady.</w:t>
      </w:r>
    </w:p>
    <w:p w:rsidR="00497264" w:rsidRDefault="00497264" w:rsidP="00497264"/>
    <w:p w:rsidR="00CB780D" w:rsidRDefault="00CB780D"/>
    <w:sectPr w:rsidR="00CB780D" w:rsidSect="004C7F0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133"/>
    <w:multiLevelType w:val="hybridMultilevel"/>
    <w:tmpl w:val="F5A41CE0"/>
    <w:lvl w:ilvl="0" w:tplc="9D66F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833"/>
    <w:multiLevelType w:val="hybridMultilevel"/>
    <w:tmpl w:val="DE90D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0F9"/>
    <w:multiLevelType w:val="hybridMultilevel"/>
    <w:tmpl w:val="442CC10E"/>
    <w:lvl w:ilvl="0" w:tplc="AE462088">
      <w:numFmt w:val="bullet"/>
      <w:lvlText w:val="-"/>
      <w:lvlJc w:val="left"/>
      <w:pPr>
        <w:ind w:left="44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>
    <w:nsid w:val="633941F4"/>
    <w:multiLevelType w:val="hybridMultilevel"/>
    <w:tmpl w:val="F65240D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101"/>
    <w:multiLevelType w:val="hybridMultilevel"/>
    <w:tmpl w:val="25768DF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4"/>
    <w:rsid w:val="00024012"/>
    <w:rsid w:val="0004202F"/>
    <w:rsid w:val="000C4FA1"/>
    <w:rsid w:val="000C5FD3"/>
    <w:rsid w:val="00497264"/>
    <w:rsid w:val="00516CB9"/>
    <w:rsid w:val="0057320E"/>
    <w:rsid w:val="006B6AC7"/>
    <w:rsid w:val="007E29D9"/>
    <w:rsid w:val="00900A9E"/>
    <w:rsid w:val="0092065D"/>
    <w:rsid w:val="00A62B23"/>
    <w:rsid w:val="00B2294D"/>
    <w:rsid w:val="00CB780D"/>
    <w:rsid w:val="00DD50B5"/>
    <w:rsid w:val="00EB5056"/>
    <w:rsid w:val="00F955CB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2020-10-20T15:37:00Z</dcterms:created>
  <dcterms:modified xsi:type="dcterms:W3CDTF">2020-11-04T08:11:00Z</dcterms:modified>
</cp:coreProperties>
</file>